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DB94" w14:textId="77777777" w:rsidR="0069745C" w:rsidRDefault="0069745C" w:rsidP="0069745C">
      <w:pPr>
        <w:rPr>
          <w:rFonts w:ascii="Arial" w:hAnsi="Arial" w:cs="Arial"/>
          <w:szCs w:val="24"/>
        </w:rPr>
      </w:pPr>
    </w:p>
    <w:p w14:paraId="19194BE6" w14:textId="7237089D" w:rsidR="0069745C" w:rsidRPr="00D94577" w:rsidRDefault="0069745C" w:rsidP="0069745C">
      <w:pPr>
        <w:rPr>
          <w:rFonts w:ascii="Arial" w:hAnsi="Arial" w:cs="Arial"/>
        </w:rPr>
      </w:pPr>
      <w:r w:rsidRPr="001F0D0F">
        <w:rPr>
          <w:rFonts w:ascii="Arial" w:hAnsi="Arial" w:cs="Arial"/>
          <w:szCs w:val="24"/>
        </w:rPr>
        <w:t>Materiał prasowy</w:t>
      </w:r>
      <w:r w:rsidRPr="001F0D0F">
        <w:rPr>
          <w:rFonts w:ascii="Arial" w:hAnsi="Arial" w:cs="Arial"/>
          <w:szCs w:val="24"/>
        </w:rPr>
        <w:tab/>
      </w:r>
      <w:r w:rsidRPr="001F0D0F">
        <w:rPr>
          <w:rFonts w:ascii="Arial" w:hAnsi="Arial" w:cs="Arial"/>
          <w:szCs w:val="24"/>
        </w:rPr>
        <w:tab/>
      </w:r>
      <w:r w:rsidRPr="001F0D0F">
        <w:rPr>
          <w:rFonts w:ascii="Arial" w:hAnsi="Arial" w:cs="Arial"/>
          <w:szCs w:val="24"/>
        </w:rPr>
        <w:tab/>
      </w:r>
      <w:r w:rsidRPr="001F0D0F">
        <w:rPr>
          <w:rFonts w:ascii="Arial" w:hAnsi="Arial" w:cs="Arial"/>
          <w:szCs w:val="24"/>
        </w:rPr>
        <w:tab/>
      </w:r>
      <w:r w:rsidRPr="001F0D0F">
        <w:rPr>
          <w:rFonts w:ascii="Arial" w:hAnsi="Arial" w:cs="Arial"/>
          <w:szCs w:val="24"/>
        </w:rPr>
        <w:tab/>
      </w:r>
      <w:r w:rsidRPr="001F0D0F">
        <w:rPr>
          <w:rFonts w:ascii="Arial" w:hAnsi="Arial" w:cs="Arial"/>
          <w:szCs w:val="24"/>
        </w:rPr>
        <w:tab/>
      </w:r>
      <w:r w:rsidRPr="001F0D0F">
        <w:rPr>
          <w:rFonts w:ascii="Arial" w:hAnsi="Arial" w:cs="Arial"/>
          <w:szCs w:val="24"/>
        </w:rPr>
        <w:tab/>
      </w:r>
      <w:r w:rsidRPr="001F0D0F">
        <w:rPr>
          <w:rFonts w:ascii="Arial" w:hAnsi="Arial" w:cs="Arial"/>
          <w:szCs w:val="24"/>
        </w:rPr>
        <w:tab/>
      </w:r>
      <w:r w:rsidR="001F0D0F" w:rsidRPr="001F0D0F">
        <w:rPr>
          <w:rFonts w:ascii="Arial" w:hAnsi="Arial" w:cs="Arial"/>
        </w:rPr>
        <w:t>14</w:t>
      </w:r>
      <w:r w:rsidR="005B3276" w:rsidRPr="001F0D0F">
        <w:rPr>
          <w:rFonts w:ascii="Arial" w:hAnsi="Arial" w:cs="Arial"/>
        </w:rPr>
        <w:t xml:space="preserve"> listopada </w:t>
      </w:r>
      <w:r w:rsidRPr="001F0D0F">
        <w:rPr>
          <w:rFonts w:ascii="Arial" w:hAnsi="Arial" w:cs="Arial"/>
        </w:rPr>
        <w:t>2023 r.</w:t>
      </w:r>
    </w:p>
    <w:p w14:paraId="6D600E81" w14:textId="77777777" w:rsidR="0069745C" w:rsidRDefault="0069745C" w:rsidP="0069745C">
      <w:pPr>
        <w:rPr>
          <w:rFonts w:ascii="Arial" w:hAnsi="Arial" w:cs="Arial"/>
          <w:b/>
          <w:bCs/>
        </w:rPr>
      </w:pPr>
    </w:p>
    <w:p w14:paraId="49C5CD24" w14:textId="239F5078" w:rsidR="007D61CA" w:rsidRPr="002C2C02" w:rsidRDefault="007D61CA" w:rsidP="007D61C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C2C02">
        <w:rPr>
          <w:rFonts w:ascii="Arial" w:hAnsi="Arial" w:cs="Arial"/>
          <w:b/>
          <w:bCs/>
          <w:sz w:val="28"/>
          <w:szCs w:val="28"/>
        </w:rPr>
        <w:t>Eesti</w:t>
      </w:r>
      <w:proofErr w:type="spellEnd"/>
      <w:r w:rsidRPr="002C2C02">
        <w:rPr>
          <w:rFonts w:ascii="Arial" w:hAnsi="Arial" w:cs="Arial"/>
          <w:b/>
          <w:bCs/>
          <w:sz w:val="28"/>
          <w:szCs w:val="28"/>
        </w:rPr>
        <w:t xml:space="preserve"> Energia w II</w:t>
      </w:r>
      <w:r w:rsidR="006B373C">
        <w:rPr>
          <w:rFonts w:ascii="Arial" w:hAnsi="Arial" w:cs="Arial"/>
          <w:b/>
          <w:bCs/>
          <w:sz w:val="28"/>
          <w:szCs w:val="28"/>
        </w:rPr>
        <w:t>I</w:t>
      </w:r>
      <w:r w:rsidRPr="002C2C02">
        <w:rPr>
          <w:rFonts w:ascii="Arial" w:hAnsi="Arial" w:cs="Arial"/>
          <w:b/>
          <w:bCs/>
          <w:sz w:val="28"/>
          <w:szCs w:val="28"/>
        </w:rPr>
        <w:t xml:space="preserve"> kwartale 2023</w:t>
      </w:r>
      <w:r w:rsidR="008E002A">
        <w:rPr>
          <w:rFonts w:ascii="Arial" w:hAnsi="Arial" w:cs="Arial"/>
          <w:b/>
          <w:bCs/>
          <w:sz w:val="28"/>
          <w:szCs w:val="28"/>
        </w:rPr>
        <w:t xml:space="preserve"> r.</w:t>
      </w:r>
      <w:r w:rsidRPr="002C2C02">
        <w:rPr>
          <w:rFonts w:ascii="Arial" w:hAnsi="Arial" w:cs="Arial"/>
          <w:b/>
          <w:bCs/>
          <w:sz w:val="28"/>
          <w:szCs w:val="28"/>
        </w:rPr>
        <w:t xml:space="preserve">: </w:t>
      </w:r>
      <w:r w:rsidR="006B373C">
        <w:rPr>
          <w:rFonts w:ascii="Arial" w:hAnsi="Arial" w:cs="Arial"/>
          <w:b/>
          <w:bCs/>
          <w:sz w:val="28"/>
          <w:szCs w:val="28"/>
        </w:rPr>
        <w:t xml:space="preserve">Więcej energii z OZE i </w:t>
      </w:r>
      <w:r w:rsidR="005B3276">
        <w:rPr>
          <w:rFonts w:ascii="Arial" w:hAnsi="Arial" w:cs="Arial"/>
          <w:b/>
          <w:bCs/>
          <w:sz w:val="28"/>
          <w:szCs w:val="28"/>
        </w:rPr>
        <w:t>wzrost</w:t>
      </w:r>
      <w:r w:rsidR="005E372C">
        <w:rPr>
          <w:rFonts w:ascii="Arial" w:hAnsi="Arial" w:cs="Arial"/>
          <w:b/>
          <w:bCs/>
          <w:sz w:val="28"/>
          <w:szCs w:val="28"/>
        </w:rPr>
        <w:t xml:space="preserve"> sprzedaży</w:t>
      </w:r>
      <w:r w:rsidR="005B3276">
        <w:rPr>
          <w:rFonts w:ascii="Arial" w:hAnsi="Arial" w:cs="Arial"/>
          <w:b/>
          <w:bCs/>
          <w:sz w:val="28"/>
          <w:szCs w:val="28"/>
        </w:rPr>
        <w:t xml:space="preserve"> </w:t>
      </w:r>
      <w:r w:rsidR="006B373C">
        <w:rPr>
          <w:rFonts w:ascii="Arial" w:hAnsi="Arial" w:cs="Arial"/>
          <w:b/>
          <w:bCs/>
          <w:sz w:val="28"/>
          <w:szCs w:val="28"/>
        </w:rPr>
        <w:t>na polskim rynku</w:t>
      </w:r>
    </w:p>
    <w:p w14:paraId="6CB20543" w14:textId="79A9F69D" w:rsidR="006B373C" w:rsidRPr="006B373C" w:rsidRDefault="006B373C" w:rsidP="006B373C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373C">
        <w:rPr>
          <w:rFonts w:ascii="Arial" w:hAnsi="Arial" w:cs="Arial"/>
          <w:b/>
          <w:bCs/>
          <w:sz w:val="24"/>
          <w:szCs w:val="24"/>
        </w:rPr>
        <w:t>Eesti</w:t>
      </w:r>
      <w:proofErr w:type="spellEnd"/>
      <w:r w:rsidRPr="006B373C">
        <w:rPr>
          <w:rFonts w:ascii="Arial" w:hAnsi="Arial" w:cs="Arial"/>
          <w:b/>
          <w:bCs/>
          <w:sz w:val="24"/>
          <w:szCs w:val="24"/>
        </w:rPr>
        <w:t xml:space="preserve"> Energia, estońska państwowa grupa energetyczna, </w:t>
      </w:r>
      <w:r w:rsidR="005B3276">
        <w:rPr>
          <w:rFonts w:ascii="Arial" w:hAnsi="Arial" w:cs="Arial"/>
          <w:b/>
          <w:bCs/>
          <w:sz w:val="24"/>
          <w:szCs w:val="24"/>
        </w:rPr>
        <w:t>której częścią jest obecna w Polsce spółka Enefit,</w:t>
      </w:r>
      <w:r w:rsidRPr="006B373C">
        <w:rPr>
          <w:rFonts w:ascii="Arial" w:hAnsi="Arial" w:cs="Arial"/>
          <w:b/>
          <w:bCs/>
          <w:sz w:val="24"/>
          <w:szCs w:val="24"/>
        </w:rPr>
        <w:t xml:space="preserve"> </w:t>
      </w:r>
      <w:r w:rsidR="005B3276">
        <w:rPr>
          <w:rFonts w:ascii="Arial" w:hAnsi="Arial" w:cs="Arial"/>
          <w:b/>
          <w:bCs/>
          <w:sz w:val="24"/>
          <w:szCs w:val="24"/>
        </w:rPr>
        <w:t>w trzecim kwartale br. odnotowała przychody ze sprzedaży na poziomie 408 mln euro. W</w:t>
      </w:r>
      <w:r w:rsidRPr="006B373C">
        <w:rPr>
          <w:rFonts w:ascii="Arial" w:hAnsi="Arial" w:cs="Arial"/>
          <w:b/>
          <w:bCs/>
          <w:sz w:val="24"/>
          <w:szCs w:val="24"/>
        </w:rPr>
        <w:t xml:space="preserve">olumen sprzedaży energii nad Wisłą </w:t>
      </w:r>
      <w:r w:rsidR="005E372C">
        <w:rPr>
          <w:rFonts w:ascii="Arial" w:hAnsi="Arial" w:cs="Arial"/>
          <w:b/>
          <w:bCs/>
          <w:sz w:val="24"/>
          <w:szCs w:val="24"/>
        </w:rPr>
        <w:t xml:space="preserve">w raportowanym okresie </w:t>
      </w:r>
      <w:r w:rsidRPr="006B373C">
        <w:rPr>
          <w:rFonts w:ascii="Arial" w:hAnsi="Arial" w:cs="Arial"/>
          <w:b/>
          <w:bCs/>
          <w:sz w:val="24"/>
          <w:szCs w:val="24"/>
        </w:rPr>
        <w:t xml:space="preserve">wzrósł </w:t>
      </w:r>
      <w:r w:rsidRPr="0054357F">
        <w:rPr>
          <w:rFonts w:ascii="Arial" w:hAnsi="Arial" w:cs="Arial"/>
          <w:b/>
          <w:bCs/>
          <w:sz w:val="24"/>
          <w:szCs w:val="24"/>
        </w:rPr>
        <w:t>o 42%</w:t>
      </w:r>
      <w:r w:rsidR="007D3347">
        <w:rPr>
          <w:rFonts w:ascii="Arial" w:hAnsi="Arial" w:cs="Arial"/>
          <w:b/>
          <w:bCs/>
          <w:sz w:val="24"/>
          <w:szCs w:val="24"/>
        </w:rPr>
        <w:t xml:space="preserve"> r/r</w:t>
      </w:r>
      <w:r w:rsidR="001A2581">
        <w:rPr>
          <w:rFonts w:ascii="Arial" w:hAnsi="Arial" w:cs="Arial"/>
          <w:b/>
          <w:bCs/>
          <w:sz w:val="24"/>
          <w:szCs w:val="24"/>
        </w:rPr>
        <w:t xml:space="preserve"> i</w:t>
      </w:r>
      <w:r w:rsidRPr="006B373C">
        <w:rPr>
          <w:rFonts w:ascii="Arial" w:hAnsi="Arial" w:cs="Arial"/>
          <w:b/>
          <w:bCs/>
          <w:sz w:val="24"/>
          <w:szCs w:val="24"/>
        </w:rPr>
        <w:t xml:space="preserve"> stanowi</w:t>
      </w:r>
      <w:r w:rsidR="001A2581">
        <w:rPr>
          <w:rFonts w:ascii="Arial" w:hAnsi="Arial" w:cs="Arial"/>
          <w:b/>
          <w:bCs/>
          <w:sz w:val="24"/>
          <w:szCs w:val="24"/>
        </w:rPr>
        <w:t>ł</w:t>
      </w:r>
      <w:r w:rsidRPr="006B373C">
        <w:rPr>
          <w:rFonts w:ascii="Arial" w:hAnsi="Arial" w:cs="Arial"/>
          <w:b/>
          <w:bCs/>
          <w:sz w:val="24"/>
          <w:szCs w:val="24"/>
        </w:rPr>
        <w:t xml:space="preserve"> 25% całkowitych przychodów </w:t>
      </w:r>
      <w:r w:rsidR="005B3276">
        <w:rPr>
          <w:rFonts w:ascii="Arial" w:hAnsi="Arial" w:cs="Arial"/>
          <w:b/>
          <w:bCs/>
          <w:sz w:val="24"/>
          <w:szCs w:val="24"/>
        </w:rPr>
        <w:t>G</w:t>
      </w:r>
      <w:r w:rsidRPr="006B373C">
        <w:rPr>
          <w:rFonts w:ascii="Arial" w:hAnsi="Arial" w:cs="Arial"/>
          <w:b/>
          <w:bCs/>
          <w:sz w:val="24"/>
          <w:szCs w:val="24"/>
        </w:rPr>
        <w:t>rupy</w:t>
      </w:r>
      <w:r w:rsidR="005B3276">
        <w:rPr>
          <w:rFonts w:ascii="Arial" w:hAnsi="Arial" w:cs="Arial"/>
          <w:b/>
          <w:bCs/>
          <w:sz w:val="24"/>
          <w:szCs w:val="24"/>
        </w:rPr>
        <w:t>.</w:t>
      </w:r>
      <w:r w:rsidRPr="006B373C">
        <w:rPr>
          <w:rFonts w:ascii="Arial" w:hAnsi="Arial" w:cs="Arial"/>
          <w:b/>
          <w:bCs/>
          <w:sz w:val="24"/>
          <w:szCs w:val="24"/>
        </w:rPr>
        <w:t xml:space="preserve"> Szczególną popularnością w Polsce cieszą się estońskie rozwiązania w zakresie energii odnawialnej. </w:t>
      </w:r>
    </w:p>
    <w:p w14:paraId="0480DB19" w14:textId="3188E620" w:rsidR="006B373C" w:rsidRDefault="006B373C" w:rsidP="006B373C">
      <w:pPr>
        <w:jc w:val="both"/>
        <w:rPr>
          <w:rFonts w:ascii="Arial" w:hAnsi="Arial" w:cs="Arial"/>
          <w:sz w:val="24"/>
          <w:szCs w:val="24"/>
        </w:rPr>
      </w:pPr>
      <w:r w:rsidRPr="006B373C">
        <w:rPr>
          <w:rFonts w:ascii="Arial" w:hAnsi="Arial" w:cs="Arial"/>
          <w:sz w:val="24"/>
          <w:szCs w:val="24"/>
        </w:rPr>
        <w:t xml:space="preserve">Całkowite przychody </w:t>
      </w:r>
      <w:proofErr w:type="spellStart"/>
      <w:r w:rsidRPr="006B373C">
        <w:rPr>
          <w:rFonts w:ascii="Arial" w:hAnsi="Arial" w:cs="Arial"/>
          <w:sz w:val="24"/>
          <w:szCs w:val="24"/>
        </w:rPr>
        <w:t>Eesti</w:t>
      </w:r>
      <w:proofErr w:type="spellEnd"/>
      <w:r w:rsidRPr="006B373C">
        <w:rPr>
          <w:rFonts w:ascii="Arial" w:hAnsi="Arial" w:cs="Arial"/>
          <w:sz w:val="24"/>
          <w:szCs w:val="24"/>
        </w:rPr>
        <w:t xml:space="preserve"> Energia ze sprzedaży w trzecim kwartale </w:t>
      </w:r>
      <w:r w:rsidR="003A09ED" w:rsidRPr="006B373C">
        <w:rPr>
          <w:rFonts w:ascii="Arial" w:hAnsi="Arial" w:cs="Arial"/>
          <w:sz w:val="24"/>
          <w:szCs w:val="24"/>
        </w:rPr>
        <w:t>wyniosły</w:t>
      </w:r>
      <w:r w:rsidRPr="006B373C">
        <w:rPr>
          <w:rFonts w:ascii="Arial" w:hAnsi="Arial" w:cs="Arial"/>
          <w:sz w:val="24"/>
          <w:szCs w:val="24"/>
        </w:rPr>
        <w:t xml:space="preserve"> 408 mln euro, </w:t>
      </w:r>
      <w:r w:rsidR="003A09ED">
        <w:rPr>
          <w:rFonts w:ascii="Arial" w:hAnsi="Arial" w:cs="Arial"/>
          <w:sz w:val="24"/>
          <w:szCs w:val="24"/>
        </w:rPr>
        <w:t>z czego aż</w:t>
      </w:r>
      <w:r w:rsidR="003A09ED" w:rsidRPr="006B373C">
        <w:rPr>
          <w:rFonts w:ascii="Arial" w:hAnsi="Arial" w:cs="Arial"/>
          <w:sz w:val="24"/>
          <w:szCs w:val="24"/>
        </w:rPr>
        <w:t xml:space="preserve"> </w:t>
      </w:r>
      <w:r w:rsidRPr="006B373C">
        <w:rPr>
          <w:rFonts w:ascii="Arial" w:hAnsi="Arial" w:cs="Arial"/>
          <w:sz w:val="24"/>
          <w:szCs w:val="24"/>
        </w:rPr>
        <w:t xml:space="preserve">66% zostało wygenerowane poza Estonią. Znormalizowany zysk netto Grupy w </w:t>
      </w:r>
      <w:r w:rsidR="007D3347">
        <w:rPr>
          <w:rFonts w:ascii="Arial" w:hAnsi="Arial" w:cs="Arial"/>
          <w:sz w:val="24"/>
          <w:szCs w:val="24"/>
        </w:rPr>
        <w:t>tym okresie</w:t>
      </w:r>
      <w:r w:rsidRPr="006B373C">
        <w:rPr>
          <w:rFonts w:ascii="Arial" w:hAnsi="Arial" w:cs="Arial"/>
          <w:sz w:val="24"/>
          <w:szCs w:val="24"/>
        </w:rPr>
        <w:t xml:space="preserve"> wyniósł 39 mln euro, czyli o 55% więcej niż w roku ubiegłym. Pomimo spadku dochodów ze sprzedaży, spółki działające pod marką Enefit </w:t>
      </w:r>
      <w:r w:rsidR="007D3347">
        <w:rPr>
          <w:rFonts w:ascii="Arial" w:hAnsi="Arial" w:cs="Arial"/>
          <w:sz w:val="24"/>
          <w:szCs w:val="24"/>
        </w:rPr>
        <w:t>zwiększają swoje</w:t>
      </w:r>
      <w:r w:rsidRPr="006B373C">
        <w:rPr>
          <w:rFonts w:ascii="Arial" w:hAnsi="Arial" w:cs="Arial"/>
          <w:sz w:val="24"/>
          <w:szCs w:val="24"/>
        </w:rPr>
        <w:t xml:space="preserve"> udział</w:t>
      </w:r>
      <w:r w:rsidR="007D3347">
        <w:rPr>
          <w:rFonts w:ascii="Arial" w:hAnsi="Arial" w:cs="Arial"/>
          <w:sz w:val="24"/>
          <w:szCs w:val="24"/>
        </w:rPr>
        <w:t>y</w:t>
      </w:r>
      <w:r w:rsidRPr="006B373C">
        <w:rPr>
          <w:rFonts w:ascii="Arial" w:hAnsi="Arial" w:cs="Arial"/>
          <w:sz w:val="24"/>
          <w:szCs w:val="24"/>
        </w:rPr>
        <w:t xml:space="preserve"> na rynku polskim, litewskim i łotewskim.</w:t>
      </w:r>
    </w:p>
    <w:p w14:paraId="35526EFB" w14:textId="2D395DF9" w:rsidR="005B3276" w:rsidRDefault="005B3276" w:rsidP="006B37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13F3">
        <w:rPr>
          <w:rFonts w:ascii="Arial" w:hAnsi="Arial" w:cs="Arial"/>
          <w:i/>
          <w:iCs/>
          <w:sz w:val="24"/>
          <w:szCs w:val="24"/>
        </w:rPr>
        <w:t xml:space="preserve">Nasze rozwiązania w zakresie energii odnawialnej stały się szczególnie popularne w Polsce, gdzie wolumen sprzedaży </w:t>
      </w:r>
      <w:r w:rsidR="001A2581" w:rsidRPr="00B11787">
        <w:rPr>
          <w:rFonts w:ascii="Arial" w:hAnsi="Arial" w:cs="Arial"/>
          <w:i/>
          <w:iCs/>
          <w:sz w:val="24"/>
          <w:szCs w:val="24"/>
        </w:rPr>
        <w:t>w trzecim kwartale</w:t>
      </w:r>
      <w:r w:rsidR="001A2581" w:rsidRPr="001A258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13F3">
        <w:rPr>
          <w:rFonts w:ascii="Arial" w:hAnsi="Arial" w:cs="Arial"/>
          <w:i/>
          <w:iCs/>
          <w:sz w:val="24"/>
          <w:szCs w:val="24"/>
        </w:rPr>
        <w:t xml:space="preserve">wzrósł </w:t>
      </w:r>
      <w:r w:rsidRPr="0054357F">
        <w:rPr>
          <w:rFonts w:ascii="Arial" w:hAnsi="Arial" w:cs="Arial"/>
          <w:i/>
          <w:iCs/>
          <w:sz w:val="24"/>
          <w:szCs w:val="24"/>
        </w:rPr>
        <w:t>o 42%</w:t>
      </w:r>
      <w:r w:rsidR="007D3347" w:rsidRPr="0054357F">
        <w:rPr>
          <w:rFonts w:ascii="Arial" w:hAnsi="Arial" w:cs="Arial"/>
          <w:i/>
          <w:iCs/>
          <w:sz w:val="24"/>
          <w:szCs w:val="24"/>
        </w:rPr>
        <w:t xml:space="preserve"> r/r</w:t>
      </w:r>
      <w:r w:rsidRPr="0054357F">
        <w:rPr>
          <w:rFonts w:ascii="Arial" w:hAnsi="Arial" w:cs="Arial"/>
          <w:i/>
          <w:iCs/>
          <w:sz w:val="24"/>
          <w:szCs w:val="24"/>
        </w:rPr>
        <w:t>.</w:t>
      </w:r>
      <w:r w:rsidRPr="000C13F3">
        <w:rPr>
          <w:rFonts w:ascii="Arial" w:hAnsi="Arial" w:cs="Arial"/>
          <w:i/>
          <w:iCs/>
          <w:sz w:val="24"/>
          <w:szCs w:val="24"/>
        </w:rPr>
        <w:t xml:space="preserve"> </w:t>
      </w:r>
      <w:r w:rsidR="00816C1F">
        <w:rPr>
          <w:rFonts w:ascii="Arial" w:hAnsi="Arial" w:cs="Arial"/>
          <w:i/>
          <w:iCs/>
          <w:sz w:val="24"/>
          <w:szCs w:val="24"/>
        </w:rPr>
        <w:t>Zwiększył się</w:t>
      </w:r>
      <w:r w:rsidR="007D3347">
        <w:rPr>
          <w:rFonts w:ascii="Arial" w:hAnsi="Arial" w:cs="Arial"/>
          <w:i/>
          <w:iCs/>
          <w:sz w:val="24"/>
          <w:szCs w:val="24"/>
        </w:rPr>
        <w:t xml:space="preserve"> także</w:t>
      </w:r>
      <w:r w:rsidR="00816C1F">
        <w:rPr>
          <w:rFonts w:ascii="Arial" w:hAnsi="Arial" w:cs="Arial"/>
          <w:i/>
          <w:iCs/>
          <w:sz w:val="24"/>
          <w:szCs w:val="24"/>
        </w:rPr>
        <w:t xml:space="preserve"> u</w:t>
      </w:r>
      <w:r w:rsidRPr="000C13F3">
        <w:rPr>
          <w:rFonts w:ascii="Arial" w:hAnsi="Arial" w:cs="Arial"/>
          <w:i/>
          <w:iCs/>
          <w:sz w:val="24"/>
          <w:szCs w:val="24"/>
        </w:rPr>
        <w:t xml:space="preserve">dział Polski w obrotach, odpowiadając </w:t>
      </w:r>
      <w:r w:rsidR="00816C1F">
        <w:rPr>
          <w:rFonts w:ascii="Arial" w:hAnsi="Arial" w:cs="Arial"/>
          <w:i/>
          <w:iCs/>
          <w:sz w:val="24"/>
          <w:szCs w:val="24"/>
        </w:rPr>
        <w:t xml:space="preserve">w trzecim kwartale </w:t>
      </w:r>
      <w:r w:rsidRPr="000C13F3">
        <w:rPr>
          <w:rFonts w:ascii="Arial" w:hAnsi="Arial" w:cs="Arial"/>
          <w:i/>
          <w:iCs/>
          <w:sz w:val="24"/>
          <w:szCs w:val="24"/>
        </w:rPr>
        <w:t>za prawie jedną czwartą całkowitych przychodów</w:t>
      </w:r>
      <w:r w:rsidR="007D3347" w:rsidRPr="007D3347">
        <w:rPr>
          <w:rFonts w:ascii="Arial" w:hAnsi="Arial" w:cs="Arial"/>
          <w:i/>
          <w:iCs/>
          <w:sz w:val="24"/>
          <w:szCs w:val="24"/>
        </w:rPr>
        <w:t xml:space="preserve"> </w:t>
      </w:r>
      <w:r w:rsidR="007D3347">
        <w:rPr>
          <w:rFonts w:ascii="Arial" w:hAnsi="Arial" w:cs="Arial"/>
          <w:i/>
          <w:iCs/>
          <w:sz w:val="24"/>
          <w:szCs w:val="24"/>
        </w:rPr>
        <w:t>całej naszej G</w:t>
      </w:r>
      <w:r w:rsidR="007D3347" w:rsidRPr="000C13F3">
        <w:rPr>
          <w:rFonts w:ascii="Arial" w:hAnsi="Arial" w:cs="Arial"/>
          <w:i/>
          <w:iCs/>
          <w:sz w:val="24"/>
          <w:szCs w:val="24"/>
        </w:rPr>
        <w:t>rupy</w:t>
      </w:r>
      <w:r w:rsidRPr="000C13F3">
        <w:rPr>
          <w:rFonts w:ascii="Arial" w:hAnsi="Arial" w:cs="Arial"/>
          <w:i/>
          <w:iCs/>
          <w:sz w:val="24"/>
          <w:szCs w:val="24"/>
        </w:rPr>
        <w:t xml:space="preserve">. Na Łotwie liczba naszych klientów przekroczyła </w:t>
      </w:r>
      <w:r w:rsidR="007D3347" w:rsidRPr="000C13F3">
        <w:rPr>
          <w:rFonts w:ascii="Arial" w:hAnsi="Arial" w:cs="Arial"/>
          <w:i/>
          <w:iCs/>
          <w:sz w:val="24"/>
          <w:szCs w:val="24"/>
        </w:rPr>
        <w:t>10</w:t>
      </w:r>
      <w:r w:rsidR="0054357F">
        <w:rPr>
          <w:rFonts w:ascii="Arial" w:hAnsi="Arial" w:cs="Arial"/>
          <w:i/>
          <w:iCs/>
          <w:sz w:val="24"/>
          <w:szCs w:val="24"/>
        </w:rPr>
        <w:t>0</w:t>
      </w:r>
      <w:r w:rsidR="007D3347">
        <w:rPr>
          <w:rFonts w:ascii="Arial" w:hAnsi="Arial" w:cs="Arial"/>
          <w:i/>
          <w:iCs/>
          <w:sz w:val="24"/>
          <w:szCs w:val="24"/>
        </w:rPr>
        <w:t xml:space="preserve"> tys.</w:t>
      </w:r>
      <w:r w:rsidRPr="000C13F3">
        <w:rPr>
          <w:rFonts w:ascii="Arial" w:hAnsi="Arial" w:cs="Arial"/>
          <w:i/>
          <w:iCs/>
          <w:sz w:val="24"/>
          <w:szCs w:val="24"/>
        </w:rPr>
        <w:t xml:space="preserve">, co czyni Enefit drugim co do wielkości uczestnikiem </w:t>
      </w:r>
      <w:r w:rsidR="00986195">
        <w:rPr>
          <w:rFonts w:ascii="Arial" w:hAnsi="Arial" w:cs="Arial"/>
          <w:i/>
          <w:iCs/>
          <w:sz w:val="24"/>
          <w:szCs w:val="24"/>
        </w:rPr>
        <w:t xml:space="preserve">tamtejszego </w:t>
      </w:r>
      <w:r w:rsidRPr="000C13F3">
        <w:rPr>
          <w:rFonts w:ascii="Arial" w:hAnsi="Arial" w:cs="Arial"/>
          <w:i/>
          <w:iCs/>
          <w:sz w:val="24"/>
          <w:szCs w:val="24"/>
        </w:rPr>
        <w:t>rynku</w:t>
      </w:r>
      <w:r w:rsidR="00986195">
        <w:rPr>
          <w:rFonts w:ascii="Arial" w:hAnsi="Arial" w:cs="Arial"/>
          <w:i/>
          <w:iCs/>
          <w:sz w:val="24"/>
          <w:szCs w:val="24"/>
        </w:rPr>
        <w:t>. Tak</w:t>
      </w:r>
      <w:r w:rsidR="000C13F3">
        <w:rPr>
          <w:rFonts w:ascii="Arial" w:hAnsi="Arial" w:cs="Arial"/>
          <w:i/>
          <w:iCs/>
          <w:sz w:val="24"/>
          <w:szCs w:val="24"/>
        </w:rPr>
        <w:t>ą</w:t>
      </w:r>
      <w:r w:rsidR="00986195">
        <w:rPr>
          <w:rFonts w:ascii="Arial" w:hAnsi="Arial" w:cs="Arial"/>
          <w:i/>
          <w:iCs/>
          <w:sz w:val="24"/>
          <w:szCs w:val="24"/>
        </w:rPr>
        <w:t xml:space="preserve"> samą pozycję zajmujemy także na Litwie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0C13F3">
        <w:rPr>
          <w:rFonts w:ascii="Arial" w:hAnsi="Arial" w:cs="Arial"/>
          <w:sz w:val="24"/>
          <w:szCs w:val="24"/>
        </w:rPr>
        <w:t>mówi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C2C02">
        <w:rPr>
          <w:rFonts w:ascii="Arial" w:hAnsi="Arial" w:cs="Arial"/>
          <w:b/>
          <w:bCs/>
          <w:sz w:val="24"/>
          <w:szCs w:val="24"/>
        </w:rPr>
        <w:t xml:space="preserve">Marlen Tamm, dyrektor finansowa </w:t>
      </w:r>
      <w:proofErr w:type="spellStart"/>
      <w:r w:rsidRPr="002C2C02">
        <w:rPr>
          <w:rFonts w:ascii="Arial" w:hAnsi="Arial" w:cs="Arial"/>
          <w:b/>
          <w:bCs/>
          <w:sz w:val="24"/>
          <w:szCs w:val="24"/>
        </w:rPr>
        <w:t>Eesti</w:t>
      </w:r>
      <w:proofErr w:type="spellEnd"/>
      <w:r w:rsidRPr="002C2C02">
        <w:rPr>
          <w:rFonts w:ascii="Arial" w:hAnsi="Arial" w:cs="Arial"/>
          <w:b/>
          <w:bCs/>
          <w:sz w:val="24"/>
          <w:szCs w:val="24"/>
        </w:rPr>
        <w:t xml:space="preserve"> Energia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F27F089" w14:textId="0C0E1764" w:rsidR="006B373C" w:rsidRPr="006B373C" w:rsidRDefault="006B373C" w:rsidP="006B373C">
      <w:pPr>
        <w:jc w:val="both"/>
        <w:rPr>
          <w:rFonts w:ascii="Arial" w:hAnsi="Arial" w:cs="Arial"/>
          <w:sz w:val="24"/>
          <w:szCs w:val="24"/>
        </w:rPr>
      </w:pPr>
      <w:r w:rsidRPr="006B373C">
        <w:rPr>
          <w:rFonts w:ascii="Arial" w:hAnsi="Arial" w:cs="Arial"/>
          <w:sz w:val="24"/>
          <w:szCs w:val="24"/>
        </w:rPr>
        <w:t xml:space="preserve">Zaufanie klientów i dobre wyniki finansowe pozwalają </w:t>
      </w:r>
      <w:proofErr w:type="spellStart"/>
      <w:r w:rsidRPr="006B373C">
        <w:rPr>
          <w:rFonts w:ascii="Arial" w:hAnsi="Arial" w:cs="Arial"/>
          <w:sz w:val="24"/>
          <w:szCs w:val="24"/>
        </w:rPr>
        <w:t>Eesti</w:t>
      </w:r>
      <w:proofErr w:type="spellEnd"/>
      <w:r w:rsidRPr="006B373C">
        <w:rPr>
          <w:rFonts w:ascii="Arial" w:hAnsi="Arial" w:cs="Arial"/>
          <w:sz w:val="24"/>
          <w:szCs w:val="24"/>
        </w:rPr>
        <w:t xml:space="preserve"> Energia na </w:t>
      </w:r>
      <w:r w:rsidR="005B3276">
        <w:rPr>
          <w:rFonts w:ascii="Arial" w:hAnsi="Arial" w:cs="Arial"/>
          <w:sz w:val="24"/>
          <w:szCs w:val="24"/>
        </w:rPr>
        <w:t>kolejne</w:t>
      </w:r>
      <w:r w:rsidR="005B3276" w:rsidRPr="006B373C">
        <w:rPr>
          <w:rFonts w:ascii="Arial" w:hAnsi="Arial" w:cs="Arial"/>
          <w:sz w:val="24"/>
          <w:szCs w:val="24"/>
        </w:rPr>
        <w:t xml:space="preserve"> </w:t>
      </w:r>
      <w:r w:rsidR="007D3347">
        <w:rPr>
          <w:rFonts w:ascii="Arial" w:hAnsi="Arial" w:cs="Arial"/>
          <w:sz w:val="24"/>
          <w:szCs w:val="24"/>
        </w:rPr>
        <w:t xml:space="preserve">inwestycje </w:t>
      </w:r>
      <w:r w:rsidRPr="006B373C">
        <w:rPr>
          <w:rFonts w:ascii="Arial" w:hAnsi="Arial" w:cs="Arial"/>
          <w:sz w:val="24"/>
          <w:szCs w:val="24"/>
        </w:rPr>
        <w:t xml:space="preserve">w produkcję energii odnawialnej – </w:t>
      </w:r>
      <w:r w:rsidR="007D3347">
        <w:rPr>
          <w:rFonts w:ascii="Arial" w:hAnsi="Arial" w:cs="Arial"/>
          <w:sz w:val="24"/>
          <w:szCs w:val="24"/>
        </w:rPr>
        <w:t xml:space="preserve">ich wartość wzrosła </w:t>
      </w:r>
      <w:r w:rsidR="00816C1F" w:rsidRPr="00816C1F">
        <w:rPr>
          <w:rFonts w:ascii="Arial" w:hAnsi="Arial" w:cs="Arial"/>
          <w:sz w:val="24"/>
          <w:szCs w:val="24"/>
        </w:rPr>
        <w:t xml:space="preserve">w trzecim kwartale o 61% w porównaniu do ubiegłego roku i </w:t>
      </w:r>
      <w:r w:rsidR="007D3347">
        <w:rPr>
          <w:rFonts w:ascii="Arial" w:hAnsi="Arial" w:cs="Arial"/>
          <w:sz w:val="24"/>
          <w:szCs w:val="24"/>
        </w:rPr>
        <w:t xml:space="preserve">wyniosła </w:t>
      </w:r>
      <w:r w:rsidR="00816C1F" w:rsidRPr="00816C1F">
        <w:rPr>
          <w:rFonts w:ascii="Arial" w:hAnsi="Arial" w:cs="Arial"/>
          <w:sz w:val="24"/>
          <w:szCs w:val="24"/>
        </w:rPr>
        <w:t>200 mln euro.</w:t>
      </w:r>
      <w:r w:rsidR="00816C1F">
        <w:rPr>
          <w:rFonts w:ascii="Arial" w:hAnsi="Arial" w:cs="Arial"/>
          <w:sz w:val="24"/>
          <w:szCs w:val="24"/>
        </w:rPr>
        <w:t xml:space="preserve"> </w:t>
      </w:r>
      <w:r w:rsidRPr="006B373C">
        <w:rPr>
          <w:rFonts w:ascii="Arial" w:hAnsi="Arial" w:cs="Arial"/>
          <w:sz w:val="24"/>
          <w:szCs w:val="24"/>
        </w:rPr>
        <w:t xml:space="preserve">Większość tych środków została przeznaczona na farmy wiatrowe, </w:t>
      </w:r>
      <w:r w:rsidR="005E372C">
        <w:rPr>
          <w:rFonts w:ascii="Arial" w:hAnsi="Arial" w:cs="Arial"/>
          <w:sz w:val="24"/>
          <w:szCs w:val="24"/>
        </w:rPr>
        <w:t>należące</w:t>
      </w:r>
      <w:r w:rsidR="005E372C" w:rsidRPr="006B373C">
        <w:rPr>
          <w:rFonts w:ascii="Arial" w:hAnsi="Arial" w:cs="Arial"/>
          <w:sz w:val="24"/>
          <w:szCs w:val="24"/>
        </w:rPr>
        <w:t xml:space="preserve"> </w:t>
      </w:r>
      <w:r w:rsidRPr="006B373C">
        <w:rPr>
          <w:rFonts w:ascii="Arial" w:hAnsi="Arial" w:cs="Arial"/>
          <w:sz w:val="24"/>
          <w:szCs w:val="24"/>
        </w:rPr>
        <w:t xml:space="preserve">do </w:t>
      </w:r>
      <w:r w:rsidR="007D3347" w:rsidRPr="006B373C">
        <w:rPr>
          <w:rFonts w:ascii="Arial" w:hAnsi="Arial" w:cs="Arial"/>
          <w:sz w:val="24"/>
          <w:szCs w:val="24"/>
        </w:rPr>
        <w:t>Enefit Green</w:t>
      </w:r>
      <w:r w:rsidR="007D3347">
        <w:rPr>
          <w:rFonts w:ascii="Arial" w:hAnsi="Arial" w:cs="Arial"/>
          <w:sz w:val="24"/>
          <w:szCs w:val="24"/>
        </w:rPr>
        <w:t xml:space="preserve">, jednej ze </w:t>
      </w:r>
      <w:r w:rsidR="007D3347" w:rsidRPr="006B373C">
        <w:rPr>
          <w:rFonts w:ascii="Arial" w:hAnsi="Arial" w:cs="Arial"/>
          <w:sz w:val="24"/>
          <w:szCs w:val="24"/>
        </w:rPr>
        <w:t>spół</w:t>
      </w:r>
      <w:r w:rsidR="007D3347">
        <w:rPr>
          <w:rFonts w:ascii="Arial" w:hAnsi="Arial" w:cs="Arial"/>
          <w:sz w:val="24"/>
          <w:szCs w:val="24"/>
        </w:rPr>
        <w:t>ek</w:t>
      </w:r>
      <w:r w:rsidR="007D3347" w:rsidRPr="006B373C">
        <w:rPr>
          <w:rFonts w:ascii="Arial" w:hAnsi="Arial" w:cs="Arial"/>
          <w:sz w:val="24"/>
          <w:szCs w:val="24"/>
        </w:rPr>
        <w:t xml:space="preserve"> zależn</w:t>
      </w:r>
      <w:r w:rsidR="007D3347">
        <w:rPr>
          <w:rFonts w:ascii="Arial" w:hAnsi="Arial" w:cs="Arial"/>
          <w:sz w:val="24"/>
          <w:szCs w:val="24"/>
        </w:rPr>
        <w:t xml:space="preserve">ych </w:t>
      </w:r>
      <w:proofErr w:type="spellStart"/>
      <w:r w:rsidR="007D3347">
        <w:rPr>
          <w:rFonts w:ascii="Arial" w:hAnsi="Arial" w:cs="Arial"/>
          <w:sz w:val="24"/>
          <w:szCs w:val="24"/>
        </w:rPr>
        <w:t>Eesti</w:t>
      </w:r>
      <w:proofErr w:type="spellEnd"/>
      <w:r w:rsidR="007D3347">
        <w:rPr>
          <w:rFonts w:ascii="Arial" w:hAnsi="Arial" w:cs="Arial"/>
          <w:sz w:val="24"/>
          <w:szCs w:val="24"/>
        </w:rPr>
        <w:t xml:space="preserve"> Energia.</w:t>
      </w:r>
    </w:p>
    <w:p w14:paraId="5E46ED2E" w14:textId="78A9445B" w:rsidR="005B3276" w:rsidRPr="006B373C" w:rsidRDefault="007D3347" w:rsidP="006B373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Większość </w:t>
      </w:r>
      <w:r w:rsidR="005B3276" w:rsidRPr="005B3276">
        <w:rPr>
          <w:rFonts w:ascii="Arial" w:hAnsi="Arial" w:cs="Arial"/>
          <w:b/>
          <w:bCs/>
          <w:sz w:val="24"/>
          <w:szCs w:val="24"/>
        </w:rPr>
        <w:t>energii elektrycznej wyprodukowano ze źródeł odnawialnych</w:t>
      </w:r>
      <w:r w:rsidR="005B3276" w:rsidRPr="005B3276" w:rsidDel="005B327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26A437" w14:textId="06D3BE98" w:rsidR="006631B1" w:rsidRPr="006B373C" w:rsidRDefault="006631B1" w:rsidP="006631B1">
      <w:pPr>
        <w:jc w:val="both"/>
        <w:rPr>
          <w:rFonts w:ascii="Arial" w:hAnsi="Arial" w:cs="Arial"/>
          <w:sz w:val="24"/>
          <w:szCs w:val="24"/>
        </w:rPr>
      </w:pPr>
      <w:r w:rsidRPr="000C13F3">
        <w:rPr>
          <w:rStyle w:val="ui-provider"/>
          <w:rFonts w:ascii="Arial" w:hAnsi="Arial" w:cs="Arial"/>
          <w:sz w:val="24"/>
          <w:szCs w:val="24"/>
        </w:rPr>
        <w:t>Ogólna produkcja energii elektrycznej w Grupie spad</w:t>
      </w:r>
      <w:r w:rsidR="007433A6">
        <w:rPr>
          <w:rStyle w:val="ui-provider"/>
          <w:rFonts w:ascii="Arial" w:hAnsi="Arial" w:cs="Arial"/>
          <w:sz w:val="24"/>
          <w:szCs w:val="24"/>
        </w:rPr>
        <w:t>ł</w:t>
      </w:r>
      <w:r w:rsidRPr="000C13F3">
        <w:rPr>
          <w:rStyle w:val="ui-provider"/>
          <w:rFonts w:ascii="Arial" w:hAnsi="Arial" w:cs="Arial"/>
          <w:sz w:val="24"/>
          <w:szCs w:val="24"/>
        </w:rPr>
        <w:t xml:space="preserve">a w trzecim kwartale o 62% </w:t>
      </w:r>
      <w:r w:rsidRPr="000C13F3">
        <w:rPr>
          <w:rStyle w:val="Pogrubienie"/>
          <w:rFonts w:ascii="Arial" w:hAnsi="Arial" w:cs="Arial"/>
          <w:b w:val="0"/>
          <w:bCs w:val="0"/>
          <w:sz w:val="24"/>
          <w:szCs w:val="24"/>
        </w:rPr>
        <w:t>r/r,</w:t>
      </w:r>
      <w:r w:rsidRPr="000C13F3">
        <w:rPr>
          <w:rStyle w:val="ui-provider"/>
          <w:rFonts w:ascii="Arial" w:hAnsi="Arial" w:cs="Arial"/>
          <w:sz w:val="24"/>
          <w:szCs w:val="24"/>
        </w:rPr>
        <w:t xml:space="preserve"> do 569 </w:t>
      </w:r>
      <w:proofErr w:type="spellStart"/>
      <w:r w:rsidRPr="000C13F3">
        <w:rPr>
          <w:rStyle w:val="ui-provider"/>
          <w:rFonts w:ascii="Arial" w:hAnsi="Arial" w:cs="Arial"/>
          <w:sz w:val="24"/>
          <w:szCs w:val="24"/>
        </w:rPr>
        <w:t>GWh</w:t>
      </w:r>
      <w:proofErr w:type="spellEnd"/>
      <w:r w:rsidRPr="000C13F3">
        <w:rPr>
          <w:rStyle w:val="ui-provider"/>
          <w:rFonts w:ascii="Arial" w:hAnsi="Arial" w:cs="Arial"/>
          <w:sz w:val="24"/>
          <w:szCs w:val="24"/>
        </w:rPr>
        <w:t xml:space="preserve">, co jednocześnie umożliwiło wzrost </w:t>
      </w:r>
      <w:r w:rsidR="007D3347" w:rsidRPr="000C13F3">
        <w:rPr>
          <w:rStyle w:val="ui-provider"/>
          <w:rFonts w:ascii="Arial" w:hAnsi="Arial" w:cs="Arial"/>
          <w:sz w:val="24"/>
          <w:szCs w:val="24"/>
        </w:rPr>
        <w:t>do 52%</w:t>
      </w:r>
      <w:r w:rsidR="007D3347">
        <w:rPr>
          <w:rStyle w:val="ui-provider"/>
          <w:rFonts w:ascii="Arial" w:hAnsi="Arial" w:cs="Arial"/>
          <w:sz w:val="24"/>
          <w:szCs w:val="24"/>
        </w:rPr>
        <w:t xml:space="preserve"> </w:t>
      </w:r>
      <w:r w:rsidRPr="000C13F3">
        <w:rPr>
          <w:rStyle w:val="ui-provider"/>
          <w:rFonts w:ascii="Arial" w:hAnsi="Arial" w:cs="Arial"/>
          <w:sz w:val="24"/>
          <w:szCs w:val="24"/>
        </w:rPr>
        <w:t xml:space="preserve">udziału energii odnawialnej w całkowitej produkcji. Stanowi to </w:t>
      </w:r>
      <w:r w:rsidR="007D3347">
        <w:rPr>
          <w:rStyle w:val="ui-provider"/>
          <w:rFonts w:ascii="Arial" w:hAnsi="Arial" w:cs="Arial"/>
          <w:sz w:val="24"/>
          <w:szCs w:val="24"/>
        </w:rPr>
        <w:t xml:space="preserve">skokowy </w:t>
      </w:r>
      <w:r w:rsidRPr="000C13F3">
        <w:rPr>
          <w:rStyle w:val="ui-provider"/>
          <w:rFonts w:ascii="Arial" w:hAnsi="Arial" w:cs="Arial"/>
          <w:sz w:val="24"/>
          <w:szCs w:val="24"/>
        </w:rPr>
        <w:t xml:space="preserve">wzrost w stosunku do tego </w:t>
      </w:r>
      <w:r w:rsidR="007D3347">
        <w:rPr>
          <w:rStyle w:val="ui-provider"/>
          <w:rFonts w:ascii="Arial" w:hAnsi="Arial" w:cs="Arial"/>
          <w:sz w:val="24"/>
          <w:szCs w:val="24"/>
        </w:rPr>
        <w:t>porównywalnego</w:t>
      </w:r>
      <w:r w:rsidR="007D3347" w:rsidRPr="000C13F3">
        <w:rPr>
          <w:rStyle w:val="ui-provider"/>
          <w:rFonts w:ascii="Arial" w:hAnsi="Arial" w:cs="Arial"/>
          <w:sz w:val="24"/>
          <w:szCs w:val="24"/>
        </w:rPr>
        <w:t xml:space="preserve"> </w:t>
      </w:r>
      <w:r w:rsidRPr="000C13F3">
        <w:rPr>
          <w:rStyle w:val="ui-provider"/>
          <w:rFonts w:ascii="Arial" w:hAnsi="Arial" w:cs="Arial"/>
          <w:sz w:val="24"/>
          <w:szCs w:val="24"/>
        </w:rPr>
        <w:t xml:space="preserve">okresu w 2022 r., kiedy to udział energii z OZE </w:t>
      </w:r>
      <w:r w:rsidR="007D3347">
        <w:rPr>
          <w:rStyle w:val="ui-provider"/>
          <w:rFonts w:ascii="Arial" w:hAnsi="Arial" w:cs="Arial"/>
          <w:sz w:val="24"/>
          <w:szCs w:val="24"/>
        </w:rPr>
        <w:t xml:space="preserve">w całkowitej produkcji </w:t>
      </w:r>
      <w:r w:rsidR="007D3347" w:rsidRPr="000C13F3">
        <w:rPr>
          <w:rStyle w:val="ui-provider"/>
          <w:rFonts w:ascii="Arial" w:hAnsi="Arial" w:cs="Arial"/>
          <w:sz w:val="24"/>
          <w:szCs w:val="24"/>
        </w:rPr>
        <w:t>wyn</w:t>
      </w:r>
      <w:r w:rsidR="007D3347">
        <w:rPr>
          <w:rStyle w:val="ui-provider"/>
          <w:rFonts w:ascii="Arial" w:hAnsi="Arial" w:cs="Arial"/>
          <w:sz w:val="24"/>
          <w:szCs w:val="24"/>
        </w:rPr>
        <w:t>iósł</w:t>
      </w:r>
      <w:r w:rsidR="007D3347" w:rsidRPr="000C13F3">
        <w:rPr>
          <w:rStyle w:val="ui-provider"/>
          <w:rFonts w:ascii="Arial" w:hAnsi="Arial" w:cs="Arial"/>
          <w:sz w:val="24"/>
          <w:szCs w:val="24"/>
        </w:rPr>
        <w:t xml:space="preserve"> </w:t>
      </w:r>
      <w:r w:rsidRPr="000C13F3">
        <w:rPr>
          <w:rStyle w:val="ui-provider"/>
          <w:rFonts w:ascii="Arial" w:hAnsi="Arial" w:cs="Arial"/>
          <w:sz w:val="24"/>
          <w:szCs w:val="24"/>
        </w:rPr>
        <w:t xml:space="preserve">tylko 20%. </w:t>
      </w:r>
    </w:p>
    <w:p w14:paraId="10EFA3A8" w14:textId="4FECF853" w:rsidR="006B373C" w:rsidRDefault="006B373C" w:rsidP="006B373C">
      <w:pPr>
        <w:jc w:val="both"/>
        <w:rPr>
          <w:rFonts w:ascii="Arial" w:hAnsi="Arial" w:cs="Arial"/>
          <w:sz w:val="24"/>
          <w:szCs w:val="24"/>
        </w:rPr>
      </w:pPr>
      <w:r w:rsidRPr="006B373C">
        <w:rPr>
          <w:rFonts w:ascii="Arial" w:hAnsi="Arial" w:cs="Arial"/>
          <w:sz w:val="24"/>
          <w:szCs w:val="24"/>
        </w:rPr>
        <w:t xml:space="preserve">Znormalizowana EBITDA, czyli zysk operacyjny </w:t>
      </w:r>
      <w:proofErr w:type="spellStart"/>
      <w:r w:rsidR="00B806AE">
        <w:rPr>
          <w:rFonts w:ascii="Arial" w:hAnsi="Arial" w:cs="Arial"/>
          <w:sz w:val="24"/>
          <w:szCs w:val="24"/>
        </w:rPr>
        <w:t>Eesti</w:t>
      </w:r>
      <w:proofErr w:type="spellEnd"/>
      <w:r w:rsidR="00B806AE">
        <w:rPr>
          <w:rFonts w:ascii="Arial" w:hAnsi="Arial" w:cs="Arial"/>
          <w:sz w:val="24"/>
          <w:szCs w:val="24"/>
        </w:rPr>
        <w:t xml:space="preserve"> Energia </w:t>
      </w:r>
      <w:r w:rsidRPr="006B373C">
        <w:rPr>
          <w:rFonts w:ascii="Arial" w:hAnsi="Arial" w:cs="Arial"/>
          <w:sz w:val="24"/>
          <w:szCs w:val="24"/>
        </w:rPr>
        <w:t xml:space="preserve">przed amortyzacją, za trzeci kwartał wyniosła 104 mln euro, czyli o 13% więcej niż w tym samym okresie ubiegłego roku. </w:t>
      </w:r>
    </w:p>
    <w:p w14:paraId="19B606B3" w14:textId="54661F99" w:rsidR="007D61CA" w:rsidRPr="006B373C" w:rsidRDefault="007D61CA" w:rsidP="006B373C">
      <w:pPr>
        <w:jc w:val="both"/>
        <w:rPr>
          <w:rFonts w:ascii="Arial" w:hAnsi="Arial" w:cs="Arial"/>
          <w:sz w:val="20"/>
          <w:szCs w:val="20"/>
        </w:rPr>
      </w:pPr>
      <w:r w:rsidRPr="006B373C">
        <w:rPr>
          <w:rFonts w:ascii="Arial" w:hAnsi="Arial" w:cs="Arial"/>
          <w:lang w:bidi="en-US"/>
        </w:rPr>
        <w:t xml:space="preserve">Wyniki </w:t>
      </w:r>
      <w:proofErr w:type="spellStart"/>
      <w:r w:rsidRPr="006B373C">
        <w:rPr>
          <w:rFonts w:ascii="Arial" w:hAnsi="Arial" w:cs="Arial"/>
          <w:lang w:bidi="en-US"/>
        </w:rPr>
        <w:t>Eesti</w:t>
      </w:r>
      <w:proofErr w:type="spellEnd"/>
      <w:r w:rsidRPr="006B373C">
        <w:rPr>
          <w:rFonts w:ascii="Arial" w:hAnsi="Arial" w:cs="Arial"/>
          <w:lang w:bidi="en-US"/>
        </w:rPr>
        <w:t xml:space="preserve"> Energia w I</w:t>
      </w:r>
      <w:r w:rsidR="006B373C">
        <w:rPr>
          <w:rFonts w:ascii="Arial" w:hAnsi="Arial" w:cs="Arial"/>
          <w:lang w:bidi="en-US"/>
        </w:rPr>
        <w:t>I</w:t>
      </w:r>
      <w:r w:rsidRPr="006B373C">
        <w:rPr>
          <w:rFonts w:ascii="Arial" w:hAnsi="Arial" w:cs="Arial"/>
          <w:lang w:bidi="en-US"/>
        </w:rPr>
        <w:t>I kwartale br.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569"/>
        <w:gridCol w:w="1134"/>
        <w:gridCol w:w="1984"/>
        <w:gridCol w:w="1701"/>
      </w:tblGrid>
      <w:tr w:rsidR="007D61CA" w:rsidRPr="004D6D29" w14:paraId="5BAFEC05" w14:textId="77777777" w:rsidTr="00536C0D">
        <w:trPr>
          <w:trHeight w:val="22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34B233"/>
            <w:tcMar>
              <w:top w:w="160" w:type="dxa"/>
              <w:left w:w="170" w:type="dxa"/>
              <w:bottom w:w="160" w:type="dxa"/>
              <w:right w:w="320" w:type="dxa"/>
            </w:tcMar>
            <w:vAlign w:val="center"/>
            <w:hideMark/>
          </w:tcPr>
          <w:p w14:paraId="772BCB94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34B233"/>
          </w:tcPr>
          <w:p w14:paraId="662DE2B3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34B233"/>
            <w:tcMar>
              <w:top w:w="160" w:type="dxa"/>
              <w:left w:w="320" w:type="dxa"/>
              <w:bottom w:w="160" w:type="dxa"/>
              <w:right w:w="320" w:type="dxa"/>
            </w:tcMar>
            <w:vAlign w:val="center"/>
            <w:hideMark/>
          </w:tcPr>
          <w:p w14:paraId="095EE9A3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2D9B2D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935C851" w14:textId="6BC7BB67" w:rsidR="007D61CA" w:rsidRPr="004D6D29" w:rsidRDefault="005B3276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>3</w:t>
            </w: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 </w:t>
            </w:r>
            <w:r w:rsidR="007D61CA"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202</w:t>
            </w:r>
            <w:r w:rsidR="002C2C02"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D9B2D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F528472" w14:textId="77B131E3" w:rsidR="007D61CA" w:rsidRPr="004D6D29" w:rsidRDefault="005B3276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>3</w:t>
            </w: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 </w:t>
            </w:r>
            <w:r w:rsidR="007D61CA"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202</w:t>
            </w:r>
            <w:r w:rsidR="002C2C02"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3</w:t>
            </w:r>
          </w:p>
        </w:tc>
      </w:tr>
      <w:tr w:rsidR="007D61CA" w:rsidRPr="004D6D29" w14:paraId="25E5DBAB" w14:textId="77777777" w:rsidTr="00536C0D">
        <w:trPr>
          <w:trHeight w:val="228"/>
        </w:trPr>
        <w:tc>
          <w:tcPr>
            <w:tcW w:w="36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170" w:type="dxa"/>
              <w:bottom w:w="0" w:type="dxa"/>
              <w:right w:w="22" w:type="dxa"/>
            </w:tcMar>
            <w:vAlign w:val="center"/>
            <w:hideMark/>
          </w:tcPr>
          <w:p w14:paraId="06FE5728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Przychody ze sprzedaży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66625D1D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69B1B97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mln euro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77E6BEF" w14:textId="4DED6A67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657,1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2F2F2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7FFA83B" w14:textId="79B355CB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408,7</w:t>
            </w:r>
            <w:r w:rsidRPr="006B373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D61CA" w:rsidRPr="004D6D29" w14:paraId="5835257E" w14:textId="77777777" w:rsidTr="00536C0D">
        <w:trPr>
          <w:trHeight w:val="237"/>
        </w:trPr>
        <w:tc>
          <w:tcPr>
            <w:tcW w:w="36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170" w:type="dxa"/>
              <w:bottom w:w="0" w:type="dxa"/>
              <w:right w:w="22" w:type="dxa"/>
            </w:tcMar>
            <w:vAlign w:val="center"/>
            <w:hideMark/>
          </w:tcPr>
          <w:p w14:paraId="7E28E8E3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EBITDA*</w:t>
            </w: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27B4E65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F7B2AF8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mln euro</w:t>
            </w:r>
          </w:p>
        </w:tc>
        <w:tc>
          <w:tcPr>
            <w:tcW w:w="19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32C415D" w14:textId="655CB412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3D47264" w14:textId="407E4D98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103,6</w:t>
            </w:r>
            <w:r w:rsidRPr="006B373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D61CA" w:rsidRPr="004D6D29" w14:paraId="7EA7E566" w14:textId="77777777" w:rsidTr="00536C0D">
        <w:trPr>
          <w:trHeight w:val="254"/>
        </w:trPr>
        <w:tc>
          <w:tcPr>
            <w:tcW w:w="36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170" w:type="dxa"/>
              <w:bottom w:w="0" w:type="dxa"/>
              <w:right w:w="22" w:type="dxa"/>
            </w:tcMar>
            <w:vAlign w:val="center"/>
            <w:hideMark/>
          </w:tcPr>
          <w:p w14:paraId="09EC3156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Zysk netto*</w:t>
            </w: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52D6C8F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AAA8C40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mln euro</w:t>
            </w:r>
          </w:p>
        </w:tc>
        <w:tc>
          <w:tcPr>
            <w:tcW w:w="19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BD37F70" w14:textId="22768B78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BCCE631" w14:textId="749AA0F5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38,9</w:t>
            </w:r>
            <w:r w:rsidRPr="006B373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D61CA" w:rsidRPr="004D6D29" w14:paraId="36024741" w14:textId="77777777" w:rsidTr="00536C0D">
        <w:trPr>
          <w:trHeight w:val="258"/>
        </w:trPr>
        <w:tc>
          <w:tcPr>
            <w:tcW w:w="36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170" w:type="dxa"/>
              <w:bottom w:w="0" w:type="dxa"/>
              <w:right w:w="22" w:type="dxa"/>
            </w:tcMar>
            <w:vAlign w:val="center"/>
            <w:hideMark/>
          </w:tcPr>
          <w:p w14:paraId="0A188726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Inwestycje</w:t>
            </w: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A05717A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DDF49C2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mln euro</w:t>
            </w:r>
          </w:p>
        </w:tc>
        <w:tc>
          <w:tcPr>
            <w:tcW w:w="19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A1D7BA8" w14:textId="1B1449BB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81DB053" w14:textId="5846D915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199,9</w:t>
            </w:r>
          </w:p>
        </w:tc>
      </w:tr>
      <w:tr w:rsidR="007D61CA" w:rsidRPr="004D6D29" w14:paraId="6377ED63" w14:textId="77777777" w:rsidTr="00536C0D">
        <w:trPr>
          <w:trHeight w:val="531"/>
        </w:trPr>
        <w:tc>
          <w:tcPr>
            <w:tcW w:w="36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170" w:type="dxa"/>
              <w:bottom w:w="0" w:type="dxa"/>
              <w:right w:w="22" w:type="dxa"/>
            </w:tcMar>
            <w:vAlign w:val="center"/>
            <w:hideMark/>
          </w:tcPr>
          <w:p w14:paraId="1074600F" w14:textId="77777777" w:rsidR="007D61CA" w:rsidRPr="004D6D29" w:rsidRDefault="007D61CA" w:rsidP="00536C0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w tym inwestycje w rozwój energii odnawialnej</w:t>
            </w: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B95D1F3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DA44174" w14:textId="77777777" w:rsidR="007D61CA" w:rsidRPr="004D6D29" w:rsidRDefault="007D61CA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D29">
              <w:rPr>
                <w:rFonts w:ascii="Arial" w:hAnsi="Arial" w:cs="Arial"/>
                <w:b/>
                <w:sz w:val="24"/>
                <w:szCs w:val="24"/>
                <w:lang w:bidi="en-US"/>
              </w:rPr>
              <w:t>mln euro</w:t>
            </w:r>
          </w:p>
        </w:tc>
        <w:tc>
          <w:tcPr>
            <w:tcW w:w="198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16FC161" w14:textId="0DDB84D5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75A6F97" w14:textId="7A3C586C" w:rsidR="007D61CA" w:rsidRPr="004D6D29" w:rsidRDefault="006B373C" w:rsidP="00536C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C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</w:tbl>
    <w:p w14:paraId="0ADAE0C9" w14:textId="77777777" w:rsidR="007D61CA" w:rsidRPr="00E968BA" w:rsidRDefault="007D61CA" w:rsidP="007D61CA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968BA">
        <w:rPr>
          <w:rFonts w:ascii="Arial" w:hAnsi="Arial" w:cs="Arial"/>
          <w:i/>
          <w:sz w:val="16"/>
          <w:szCs w:val="16"/>
          <w:lang w:bidi="en-US"/>
        </w:rPr>
        <w:t>*Normalizacja wyników, która nie obejmuje aktualizacji wyceny instrumentów pochodnych</w:t>
      </w:r>
    </w:p>
    <w:p w14:paraId="39514C1A" w14:textId="77777777" w:rsidR="00047350" w:rsidRDefault="00047350" w:rsidP="00047350">
      <w:pPr>
        <w:jc w:val="center"/>
        <w:rPr>
          <w:rFonts w:ascii="Arial" w:hAnsi="Arial" w:cs="Arial"/>
          <w:b/>
          <w:sz w:val="20"/>
          <w:szCs w:val="20"/>
        </w:rPr>
      </w:pPr>
    </w:p>
    <w:p w14:paraId="3A4E13DD" w14:textId="7EE16266" w:rsidR="00047350" w:rsidRDefault="00047350" w:rsidP="0004735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</w:t>
      </w:r>
    </w:p>
    <w:p w14:paraId="41447570" w14:textId="299D4698" w:rsidR="005C40BA" w:rsidRPr="00D94577" w:rsidRDefault="005C40BA" w:rsidP="005C40BA">
      <w:pPr>
        <w:jc w:val="both"/>
        <w:rPr>
          <w:rFonts w:ascii="Arial" w:hAnsi="Arial" w:cs="Arial"/>
          <w:b/>
          <w:sz w:val="20"/>
          <w:szCs w:val="20"/>
        </w:rPr>
      </w:pPr>
      <w:r w:rsidRPr="00D94577">
        <w:rPr>
          <w:rFonts w:ascii="Arial" w:hAnsi="Arial" w:cs="Arial"/>
          <w:b/>
          <w:sz w:val="20"/>
          <w:szCs w:val="20"/>
        </w:rPr>
        <w:t xml:space="preserve">Więcej o grupie </w:t>
      </w:r>
      <w:proofErr w:type="spellStart"/>
      <w:r w:rsidRPr="00D94577">
        <w:rPr>
          <w:rFonts w:ascii="Arial" w:hAnsi="Arial" w:cs="Arial"/>
          <w:b/>
          <w:sz w:val="20"/>
          <w:szCs w:val="20"/>
        </w:rPr>
        <w:t>Eesti</w:t>
      </w:r>
      <w:proofErr w:type="spellEnd"/>
      <w:r w:rsidRPr="00D94577">
        <w:rPr>
          <w:rFonts w:ascii="Arial" w:hAnsi="Arial" w:cs="Arial"/>
          <w:b/>
          <w:sz w:val="20"/>
          <w:szCs w:val="20"/>
        </w:rPr>
        <w:t xml:space="preserve"> Energia</w:t>
      </w:r>
    </w:p>
    <w:p w14:paraId="7A5A2A57" w14:textId="77777777" w:rsidR="005C40BA" w:rsidRPr="00D94577" w:rsidRDefault="005C40BA" w:rsidP="005C40BA">
      <w:pPr>
        <w:jc w:val="both"/>
        <w:rPr>
          <w:rFonts w:ascii="Arial" w:hAnsi="Arial" w:cs="Arial"/>
          <w:sz w:val="20"/>
          <w:szCs w:val="20"/>
        </w:rPr>
      </w:pPr>
      <w:r w:rsidRPr="00D94577">
        <w:rPr>
          <w:rFonts w:ascii="Arial" w:hAnsi="Arial" w:cs="Arial"/>
          <w:sz w:val="20"/>
          <w:szCs w:val="20"/>
        </w:rPr>
        <w:t xml:space="preserve">Ambicją grupy </w:t>
      </w:r>
      <w:proofErr w:type="spellStart"/>
      <w:r w:rsidRPr="00D94577">
        <w:rPr>
          <w:rFonts w:ascii="Arial" w:hAnsi="Arial" w:cs="Arial"/>
          <w:sz w:val="20"/>
          <w:szCs w:val="20"/>
        </w:rPr>
        <w:t>Eesti</w:t>
      </w:r>
      <w:proofErr w:type="spellEnd"/>
      <w:r w:rsidRPr="00D94577">
        <w:rPr>
          <w:rFonts w:ascii="Arial" w:hAnsi="Arial" w:cs="Arial"/>
          <w:sz w:val="20"/>
          <w:szCs w:val="20"/>
        </w:rPr>
        <w:t xml:space="preserve"> Energia jest wspieranie klientów w planowaniu i wdrażaniu zielonej rewolucji poprzez oferowanie wygodnej i zrównoważonej gamy rozwiązań energetycznych. Firma jest wiodącym producentem energii wiatrowej w krajach bałtyckich i jednym z niewielu producentów paliw płynnych w Europie. </w:t>
      </w:r>
      <w:proofErr w:type="spellStart"/>
      <w:r w:rsidRPr="00D94577">
        <w:rPr>
          <w:rFonts w:ascii="Arial" w:hAnsi="Arial" w:cs="Arial"/>
          <w:sz w:val="20"/>
          <w:szCs w:val="20"/>
        </w:rPr>
        <w:t>Eesti</w:t>
      </w:r>
      <w:proofErr w:type="spellEnd"/>
      <w:r w:rsidRPr="00D94577">
        <w:rPr>
          <w:rFonts w:ascii="Arial" w:hAnsi="Arial" w:cs="Arial"/>
          <w:sz w:val="20"/>
          <w:szCs w:val="20"/>
        </w:rPr>
        <w:t xml:space="preserve"> Energia zatrudnia ok. 5 400 osób. Przychody ze sprzedaży Grupy w 2022 roku wyniosły 2,2 mld EUR. </w:t>
      </w:r>
    </w:p>
    <w:p w14:paraId="701757F2" w14:textId="77777777" w:rsidR="005C40BA" w:rsidRPr="00D94577" w:rsidRDefault="005C40BA" w:rsidP="005C40BA">
      <w:pPr>
        <w:jc w:val="both"/>
        <w:rPr>
          <w:rFonts w:ascii="Arial" w:hAnsi="Arial" w:cs="Arial"/>
          <w:sz w:val="20"/>
          <w:szCs w:val="20"/>
        </w:rPr>
      </w:pPr>
      <w:r w:rsidRPr="00D94577">
        <w:rPr>
          <w:rFonts w:ascii="Arial" w:hAnsi="Arial" w:cs="Arial"/>
          <w:sz w:val="20"/>
          <w:szCs w:val="20"/>
        </w:rPr>
        <w:t xml:space="preserve">Więcej informacji o Enefit na: </w:t>
      </w:r>
      <w:hyperlink r:id="rId8" w:history="1">
        <w:r w:rsidRPr="00D94577">
          <w:rPr>
            <w:rStyle w:val="Hipercze"/>
            <w:rFonts w:ascii="Arial" w:hAnsi="Arial" w:cs="Arial"/>
            <w:sz w:val="20"/>
            <w:szCs w:val="20"/>
          </w:rPr>
          <w:t>www.enefit.pl</w:t>
        </w:r>
      </w:hyperlink>
      <w:r w:rsidRPr="00D94577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D94577">
          <w:rPr>
            <w:rStyle w:val="Hipercze"/>
            <w:rFonts w:ascii="Arial" w:hAnsi="Arial" w:cs="Arial"/>
            <w:sz w:val="20"/>
            <w:szCs w:val="20"/>
          </w:rPr>
          <w:t>LinkedIn</w:t>
        </w:r>
      </w:hyperlink>
      <w:r w:rsidRPr="00D94577">
        <w:rPr>
          <w:rStyle w:val="Hipercze"/>
          <w:rFonts w:ascii="Arial" w:hAnsi="Arial" w:cs="Arial"/>
          <w:sz w:val="20"/>
          <w:szCs w:val="20"/>
        </w:rPr>
        <w:t xml:space="preserve">, </w:t>
      </w:r>
      <w:hyperlink r:id="rId10" w:history="1">
        <w:r w:rsidRPr="00D94577">
          <w:rPr>
            <w:rStyle w:val="Hipercze"/>
            <w:rFonts w:ascii="Arial" w:hAnsi="Arial" w:cs="Arial"/>
            <w:sz w:val="20"/>
            <w:szCs w:val="20"/>
          </w:rPr>
          <w:t>Facebook</w:t>
        </w:r>
      </w:hyperlink>
      <w:r w:rsidRPr="00D94577">
        <w:rPr>
          <w:rFonts w:ascii="Arial" w:hAnsi="Arial" w:cs="Arial"/>
          <w:sz w:val="20"/>
          <w:szCs w:val="20"/>
        </w:rPr>
        <w:t xml:space="preserve"> </w:t>
      </w:r>
    </w:p>
    <w:p w14:paraId="3711C250" w14:textId="77777777" w:rsidR="005B3276" w:rsidRPr="00F65771" w:rsidRDefault="005B3276" w:rsidP="005B3276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F65771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14:paraId="3F585818" w14:textId="77777777" w:rsidR="005B3276" w:rsidRPr="00F65771" w:rsidRDefault="005B3276" w:rsidP="005B3276">
      <w:pPr>
        <w:pStyle w:val="Bezodstpw"/>
        <w:rPr>
          <w:rFonts w:ascii="Arial" w:hAnsi="Arial" w:cs="Arial"/>
          <w:sz w:val="20"/>
          <w:szCs w:val="20"/>
        </w:rPr>
      </w:pPr>
      <w:r w:rsidRPr="00F65771">
        <w:rPr>
          <w:rFonts w:ascii="Arial" w:hAnsi="Arial" w:cs="Arial"/>
          <w:sz w:val="20"/>
          <w:szCs w:val="20"/>
        </w:rPr>
        <w:t>Zuzanna Pydzikova</w:t>
      </w:r>
    </w:p>
    <w:p w14:paraId="3B38732D" w14:textId="77777777" w:rsidR="005B3276" w:rsidRPr="00F65771" w:rsidRDefault="005B3276" w:rsidP="005B3276">
      <w:pPr>
        <w:pStyle w:val="Bezodstpw"/>
        <w:rPr>
          <w:rFonts w:ascii="Arial" w:hAnsi="Arial" w:cs="Arial"/>
          <w:sz w:val="20"/>
          <w:szCs w:val="20"/>
        </w:rPr>
      </w:pPr>
      <w:r w:rsidRPr="00F65771">
        <w:rPr>
          <w:rFonts w:ascii="Arial" w:hAnsi="Arial" w:cs="Arial"/>
          <w:sz w:val="20"/>
          <w:szCs w:val="20"/>
        </w:rPr>
        <w:t>Grayling Poland</w:t>
      </w:r>
    </w:p>
    <w:p w14:paraId="7FA752BF" w14:textId="77777777" w:rsidR="005B3276" w:rsidRPr="00F65771" w:rsidRDefault="005B3276" w:rsidP="005B3276">
      <w:pPr>
        <w:spacing w:line="210" w:lineRule="atLeast"/>
        <w:rPr>
          <w:rFonts w:ascii="Arial" w:eastAsiaTheme="minorEastAsia" w:hAnsi="Arial" w:cs="Arial"/>
          <w:noProof/>
          <w:sz w:val="20"/>
          <w:szCs w:val="20"/>
          <w:lang w:val="en-US"/>
        </w:rPr>
      </w:pPr>
      <w:r w:rsidRPr="00F65771">
        <w:rPr>
          <w:rFonts w:ascii="Arial" w:hAnsi="Arial" w:cs="Arial"/>
          <w:sz w:val="20"/>
          <w:szCs w:val="20"/>
          <w:lang w:val="en-US"/>
        </w:rPr>
        <w:t xml:space="preserve">Tel. </w:t>
      </w:r>
      <w:r w:rsidRPr="00F65771">
        <w:rPr>
          <w:rFonts w:ascii="Arial" w:eastAsiaTheme="minorEastAsia" w:hAnsi="Arial" w:cs="Arial"/>
          <w:noProof/>
          <w:color w:val="0E294B"/>
          <w:sz w:val="20"/>
          <w:szCs w:val="20"/>
          <w:lang w:val="en-US" w:eastAsia="pl-PL"/>
        </w:rPr>
        <w:t>+</w:t>
      </w:r>
      <w:r w:rsidRPr="000C13F3">
        <w:rPr>
          <w:rFonts w:ascii="Arial" w:eastAsiaTheme="minorEastAsia" w:hAnsi="Arial" w:cs="Arial"/>
          <w:noProof/>
          <w:sz w:val="20"/>
          <w:szCs w:val="20"/>
          <w:lang w:val="en-US" w:eastAsia="pl-PL"/>
        </w:rPr>
        <w:t xml:space="preserve">48 </w:t>
      </w:r>
      <w:r w:rsidRPr="005E372C">
        <w:rPr>
          <w:rFonts w:ascii="Arial" w:eastAsiaTheme="minorEastAsia" w:hAnsi="Arial" w:cs="Arial"/>
          <w:noProof/>
          <w:sz w:val="20"/>
          <w:szCs w:val="20"/>
          <w:lang w:val="en-US"/>
        </w:rPr>
        <w:t>603 300 185</w:t>
      </w:r>
    </w:p>
    <w:p w14:paraId="511E5B94" w14:textId="77777777" w:rsidR="005B3276" w:rsidRPr="00F65771" w:rsidRDefault="001F0D0F" w:rsidP="005B3276">
      <w:pPr>
        <w:rPr>
          <w:rFonts w:ascii="Arial" w:hAnsi="Arial" w:cs="Arial"/>
          <w:sz w:val="20"/>
          <w:szCs w:val="20"/>
        </w:rPr>
      </w:pPr>
      <w:hyperlink r:id="rId11" w:history="1">
        <w:r w:rsidR="005B3276" w:rsidRPr="00F65771">
          <w:rPr>
            <w:rStyle w:val="Hipercze"/>
            <w:rFonts w:ascii="Arial" w:eastAsiaTheme="minorEastAsia" w:hAnsi="Arial" w:cs="Arial"/>
            <w:noProof/>
            <w:sz w:val="20"/>
            <w:szCs w:val="20"/>
            <w:lang w:eastAsia="pl-PL"/>
          </w:rPr>
          <w:t>zuzanna.pydzikova@grayling.com</w:t>
        </w:r>
      </w:hyperlink>
      <w:r w:rsidR="005B3276" w:rsidRPr="00F65771">
        <w:rPr>
          <w:rFonts w:ascii="Arial" w:eastAsiaTheme="minorEastAsia" w:hAnsi="Arial" w:cs="Arial"/>
          <w:noProof/>
          <w:color w:val="0E294B"/>
          <w:sz w:val="20"/>
          <w:szCs w:val="20"/>
          <w:lang w:eastAsia="pl-PL"/>
        </w:rPr>
        <w:t> </w:t>
      </w:r>
    </w:p>
    <w:p w14:paraId="0EBBDDA8" w14:textId="7A26A0E9" w:rsidR="005C40BA" w:rsidRPr="005C5011" w:rsidRDefault="005C40BA" w:rsidP="005B3276">
      <w:pPr>
        <w:jc w:val="both"/>
        <w:rPr>
          <w:rFonts w:ascii="Inter" w:hAnsi="Inter" w:cs="Arial"/>
          <w:lang w:val="en-US"/>
        </w:rPr>
      </w:pPr>
    </w:p>
    <w:sectPr w:rsidR="005C40BA" w:rsidRPr="005C501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0BDC" w14:textId="77777777" w:rsidR="00F86B1B" w:rsidRDefault="00F86B1B" w:rsidP="0069745C">
      <w:pPr>
        <w:spacing w:after="0" w:line="240" w:lineRule="auto"/>
      </w:pPr>
      <w:r>
        <w:separator/>
      </w:r>
    </w:p>
  </w:endnote>
  <w:endnote w:type="continuationSeparator" w:id="0">
    <w:p w14:paraId="65618F13" w14:textId="77777777" w:rsidR="00F86B1B" w:rsidRDefault="00F86B1B" w:rsidP="0069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B1A9" w14:textId="77777777" w:rsidR="00F86B1B" w:rsidRDefault="00F86B1B" w:rsidP="0069745C">
      <w:pPr>
        <w:spacing w:after="0" w:line="240" w:lineRule="auto"/>
      </w:pPr>
      <w:r>
        <w:separator/>
      </w:r>
    </w:p>
  </w:footnote>
  <w:footnote w:type="continuationSeparator" w:id="0">
    <w:p w14:paraId="4466206F" w14:textId="77777777" w:rsidR="00F86B1B" w:rsidRDefault="00F86B1B" w:rsidP="0069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3F7" w14:textId="50657ECD" w:rsidR="0069745C" w:rsidRDefault="0069745C" w:rsidP="0069745C">
    <w:pPr>
      <w:pStyle w:val="Nagwek"/>
      <w:jc w:val="right"/>
    </w:pPr>
    <w:r>
      <w:rPr>
        <w:noProof/>
        <w:lang w:eastAsia="pl-PL"/>
      </w:rPr>
      <w:drawing>
        <wp:inline distT="0" distB="0" distL="0" distR="0" wp14:anchorId="60BE5144" wp14:editId="004092E5">
          <wp:extent cx="1273839" cy="673376"/>
          <wp:effectExtent l="0" t="0" r="2540" b="0"/>
          <wp:docPr id="3" name="Obraz 3" descr="Obraz zawierający Czcionka, logo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Czcionka, logo, tekst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391" cy="73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D4241"/>
    <w:multiLevelType w:val="hybridMultilevel"/>
    <w:tmpl w:val="E7181BC0"/>
    <w:lvl w:ilvl="0" w:tplc="E6D4DC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6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DB"/>
    <w:rsid w:val="000141BB"/>
    <w:rsid w:val="00047350"/>
    <w:rsid w:val="000667FC"/>
    <w:rsid w:val="00067C68"/>
    <w:rsid w:val="00082E70"/>
    <w:rsid w:val="00086E8B"/>
    <w:rsid w:val="0009624F"/>
    <w:rsid w:val="000A4612"/>
    <w:rsid w:val="000C13F3"/>
    <w:rsid w:val="001020C3"/>
    <w:rsid w:val="00171884"/>
    <w:rsid w:val="001A2581"/>
    <w:rsid w:val="001F0D0F"/>
    <w:rsid w:val="001F3D34"/>
    <w:rsid w:val="00284EDC"/>
    <w:rsid w:val="002C2C02"/>
    <w:rsid w:val="003124B2"/>
    <w:rsid w:val="0039798A"/>
    <w:rsid w:val="003A09ED"/>
    <w:rsid w:val="003D585A"/>
    <w:rsid w:val="003F332F"/>
    <w:rsid w:val="003F57D3"/>
    <w:rsid w:val="00424BBF"/>
    <w:rsid w:val="00440D1D"/>
    <w:rsid w:val="004922DF"/>
    <w:rsid w:val="004D6D29"/>
    <w:rsid w:val="004F3B07"/>
    <w:rsid w:val="00501783"/>
    <w:rsid w:val="005143BC"/>
    <w:rsid w:val="0052544D"/>
    <w:rsid w:val="0054357F"/>
    <w:rsid w:val="005649DC"/>
    <w:rsid w:val="005941D1"/>
    <w:rsid w:val="005A0860"/>
    <w:rsid w:val="005B3276"/>
    <w:rsid w:val="005B7765"/>
    <w:rsid w:val="005C40BA"/>
    <w:rsid w:val="005C5011"/>
    <w:rsid w:val="005D21E3"/>
    <w:rsid w:val="005E372C"/>
    <w:rsid w:val="005F055F"/>
    <w:rsid w:val="006142EC"/>
    <w:rsid w:val="00614604"/>
    <w:rsid w:val="00614D0E"/>
    <w:rsid w:val="0063510F"/>
    <w:rsid w:val="00645E4B"/>
    <w:rsid w:val="00646608"/>
    <w:rsid w:val="00662B89"/>
    <w:rsid w:val="006631B1"/>
    <w:rsid w:val="0066323C"/>
    <w:rsid w:val="0067741A"/>
    <w:rsid w:val="00682F91"/>
    <w:rsid w:val="0069745C"/>
    <w:rsid w:val="006A44B0"/>
    <w:rsid w:val="006B0140"/>
    <w:rsid w:val="006B373C"/>
    <w:rsid w:val="006E57CE"/>
    <w:rsid w:val="006F4687"/>
    <w:rsid w:val="006F72B1"/>
    <w:rsid w:val="00706A41"/>
    <w:rsid w:val="0071101E"/>
    <w:rsid w:val="00734530"/>
    <w:rsid w:val="0074045C"/>
    <w:rsid w:val="007421B0"/>
    <w:rsid w:val="007433A6"/>
    <w:rsid w:val="00757378"/>
    <w:rsid w:val="00762007"/>
    <w:rsid w:val="0078094F"/>
    <w:rsid w:val="007D3347"/>
    <w:rsid w:val="007D61CA"/>
    <w:rsid w:val="007E46E9"/>
    <w:rsid w:val="008125F4"/>
    <w:rsid w:val="00816C1F"/>
    <w:rsid w:val="00856FF1"/>
    <w:rsid w:val="00876E98"/>
    <w:rsid w:val="008C7DA9"/>
    <w:rsid w:val="008E002A"/>
    <w:rsid w:val="008E1440"/>
    <w:rsid w:val="008F4980"/>
    <w:rsid w:val="009232D2"/>
    <w:rsid w:val="0093244E"/>
    <w:rsid w:val="00974C8E"/>
    <w:rsid w:val="00977883"/>
    <w:rsid w:val="00983D93"/>
    <w:rsid w:val="00986195"/>
    <w:rsid w:val="009C3288"/>
    <w:rsid w:val="00A023B9"/>
    <w:rsid w:val="00A66F41"/>
    <w:rsid w:val="00A74A0B"/>
    <w:rsid w:val="00AB0798"/>
    <w:rsid w:val="00B21DAF"/>
    <w:rsid w:val="00B50B8E"/>
    <w:rsid w:val="00B7602F"/>
    <w:rsid w:val="00B76280"/>
    <w:rsid w:val="00B806AE"/>
    <w:rsid w:val="00BA1AB3"/>
    <w:rsid w:val="00BA2078"/>
    <w:rsid w:val="00BE1BDB"/>
    <w:rsid w:val="00BE2273"/>
    <w:rsid w:val="00BF4FAA"/>
    <w:rsid w:val="00BF543F"/>
    <w:rsid w:val="00C15367"/>
    <w:rsid w:val="00C2255F"/>
    <w:rsid w:val="00C51416"/>
    <w:rsid w:val="00C81CCD"/>
    <w:rsid w:val="00CC425A"/>
    <w:rsid w:val="00D470CC"/>
    <w:rsid w:val="00D57A47"/>
    <w:rsid w:val="00D739DC"/>
    <w:rsid w:val="00D86F44"/>
    <w:rsid w:val="00D9553F"/>
    <w:rsid w:val="00DA7E2C"/>
    <w:rsid w:val="00DF6E57"/>
    <w:rsid w:val="00E823E8"/>
    <w:rsid w:val="00E84F5F"/>
    <w:rsid w:val="00EA043B"/>
    <w:rsid w:val="00EA6CEF"/>
    <w:rsid w:val="00F23586"/>
    <w:rsid w:val="00F406EF"/>
    <w:rsid w:val="00F70E52"/>
    <w:rsid w:val="00F86B1B"/>
    <w:rsid w:val="00FC4798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7C53"/>
  <w15:chartTrackingRefBased/>
  <w15:docId w15:val="{E2763D00-7E9C-4498-B1B5-0CA41711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94F"/>
    <w:pPr>
      <w:spacing w:line="252" w:lineRule="auto"/>
      <w:ind w:left="720"/>
      <w:contextualSpacing/>
    </w:pPr>
    <w:rPr>
      <w:rFonts w:ascii="Calibri" w:hAnsi="Calibri" w:cs="Calibri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5C"/>
  </w:style>
  <w:style w:type="paragraph" w:styleId="Stopka">
    <w:name w:val="footer"/>
    <w:basedOn w:val="Normalny"/>
    <w:link w:val="StopkaZnak"/>
    <w:uiPriority w:val="99"/>
    <w:unhideWhenUsed/>
    <w:rsid w:val="0069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5C"/>
  </w:style>
  <w:style w:type="character" w:styleId="Hipercze">
    <w:name w:val="Hyperlink"/>
    <w:basedOn w:val="Domylnaczcionkaakapitu"/>
    <w:uiPriority w:val="99"/>
    <w:unhideWhenUsed/>
    <w:rsid w:val="005C40B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C40BA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52544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5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4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4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44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0C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0C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84ED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1E"/>
    <w:rPr>
      <w:vertAlign w:val="superscript"/>
    </w:rPr>
  </w:style>
  <w:style w:type="paragraph" w:customStyle="1" w:styleId="pf0">
    <w:name w:val="pf0"/>
    <w:basedOn w:val="Normalny"/>
    <w:rsid w:val="0087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876E9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76E98"/>
    <w:rPr>
      <w:rFonts w:ascii="Segoe UI" w:hAnsi="Segoe UI" w:cs="Segoe UI" w:hint="default"/>
      <w:sz w:val="18"/>
      <w:szCs w:val="18"/>
      <w:u w:val="single"/>
    </w:rPr>
  </w:style>
  <w:style w:type="table" w:styleId="Tabela-Siatka">
    <w:name w:val="Table Grid"/>
    <w:basedOn w:val="Standardowy"/>
    <w:uiPriority w:val="39"/>
    <w:rsid w:val="0061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61CA"/>
    <w:rPr>
      <w:b/>
      <w:bCs/>
    </w:rPr>
  </w:style>
  <w:style w:type="character" w:customStyle="1" w:styleId="ui-provider">
    <w:name w:val="ui-provider"/>
    <w:basedOn w:val="Domylnaczcionkaakapitu"/>
    <w:rsid w:val="0066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fit.pl/sta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nna.pydzikova@grayl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nefitPol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enefit-pols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1C4E-670D-4054-8440-145065E9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Pydzikova</dc:creator>
  <cp:keywords/>
  <dc:description/>
  <cp:lastModifiedBy>Michal Bukowinski</cp:lastModifiedBy>
  <cp:revision>6</cp:revision>
  <cp:lastPrinted>2023-08-17T11:36:00Z</cp:lastPrinted>
  <dcterms:created xsi:type="dcterms:W3CDTF">2023-11-08T12:35:00Z</dcterms:created>
  <dcterms:modified xsi:type="dcterms:W3CDTF">2023-11-14T09:05:00Z</dcterms:modified>
</cp:coreProperties>
</file>